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C3C5" w14:textId="77777777" w:rsidR="00D11791" w:rsidRPr="008B0810" w:rsidRDefault="00D11791" w:rsidP="008B0810">
      <w:pPr>
        <w:spacing w:after="0" w:line="240" w:lineRule="auto"/>
        <w:jc w:val="center"/>
        <w:rPr>
          <w:rFonts w:ascii="Liberation Serif" w:hAnsi="Liberation Serif"/>
          <w:color w:val="4472C4" w:themeColor="accent1"/>
          <w:sz w:val="24"/>
          <w:szCs w:val="24"/>
          <w:lang w:bidi="ru-RU"/>
        </w:rPr>
      </w:pPr>
      <w:bookmarkStart w:id="0" w:name="bookmark0"/>
      <w:r w:rsidRPr="008B0810">
        <w:rPr>
          <w:rFonts w:ascii="Liberation Serif" w:hAnsi="Liberation Serif"/>
          <w:color w:val="4472C4" w:themeColor="accent1"/>
          <w:sz w:val="24"/>
          <w:szCs w:val="24"/>
          <w:lang w:bidi="ru-RU"/>
        </w:rPr>
        <w:t>ПАМЯТКА</w:t>
      </w:r>
      <w:bookmarkEnd w:id="0"/>
    </w:p>
    <w:p w14:paraId="7982B0AD" w14:textId="77777777" w:rsidR="00D11791" w:rsidRPr="008B0810" w:rsidRDefault="00D11791" w:rsidP="008B0810">
      <w:pPr>
        <w:spacing w:after="0" w:line="240" w:lineRule="auto"/>
        <w:jc w:val="center"/>
        <w:rPr>
          <w:rFonts w:ascii="Liberation Serif" w:hAnsi="Liberation Serif"/>
          <w:color w:val="4472C4" w:themeColor="accent1"/>
          <w:sz w:val="24"/>
          <w:szCs w:val="24"/>
          <w:lang w:bidi="ru-RU"/>
        </w:rPr>
      </w:pPr>
      <w:r w:rsidRPr="008B0810">
        <w:rPr>
          <w:rFonts w:ascii="Liberation Serif" w:hAnsi="Liberation Serif"/>
          <w:color w:val="4472C4" w:themeColor="accent1"/>
          <w:sz w:val="24"/>
          <w:szCs w:val="24"/>
          <w:lang w:bidi="ru-RU"/>
        </w:rPr>
        <w:t>ПРЕДСТАВЛЕНИЕ СВЕДЕНИЙ О ДОХОДАХ, ОБ ИМУЩЕСТВЕ И ОБЯЗАТЕЛЬСТВАХ ИМУЩЕСТВЕННОГО ХАРАКТЕРА И ЗАПОЛНЕНИЯ СООТВЕТСТВУЮЩЕЙ ФОРМЫ СПРАВКИ</w:t>
      </w:r>
    </w:p>
    <w:p w14:paraId="4DA3F009" w14:textId="60ED5E4B" w:rsidR="00D11791" w:rsidRPr="008B0810" w:rsidRDefault="00D11791" w:rsidP="00D11791">
      <w:pPr>
        <w:pStyle w:val="a7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b/>
          <w:bCs/>
          <w:sz w:val="24"/>
          <w:szCs w:val="24"/>
          <w:lang w:bidi="ru-RU"/>
        </w:rPr>
      </w:pPr>
      <w:bookmarkStart w:id="1" w:name="bookmark1"/>
      <w:r w:rsidRPr="008B0810">
        <w:rPr>
          <w:rFonts w:ascii="Liberation Serif" w:hAnsi="Liberation Serif"/>
          <w:b/>
          <w:bCs/>
          <w:sz w:val="24"/>
          <w:szCs w:val="24"/>
          <w:lang w:bidi="ru-RU"/>
        </w:rPr>
        <w:t>Кто обязан представлять сведения о доходах, об имуществе и обязательствах имущественного характера</w:t>
      </w:r>
      <w:bookmarkEnd w:id="1"/>
      <w:r w:rsidRPr="008B0810">
        <w:rPr>
          <w:rFonts w:ascii="Liberation Serif" w:hAnsi="Liberation Serif"/>
          <w:b/>
          <w:bCs/>
          <w:sz w:val="24"/>
          <w:szCs w:val="24"/>
          <w:lang w:bidi="ru-RU"/>
        </w:rPr>
        <w:t>.</w:t>
      </w:r>
    </w:p>
    <w:p w14:paraId="65976B55" w14:textId="77777777" w:rsidR="00D11791" w:rsidRPr="008B0810" w:rsidRDefault="00D11791" w:rsidP="00D11791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color w:val="EE0000"/>
          <w:sz w:val="24"/>
          <w:szCs w:val="24"/>
          <w:lang w:bidi="ru-RU"/>
        </w:rPr>
        <w:t xml:space="preserve">С 1 января 2026 года </w:t>
      </w:r>
      <w:r w:rsidRPr="008B0810">
        <w:rPr>
          <w:rFonts w:ascii="Liberation Serif" w:hAnsi="Liberation Serif"/>
          <w:sz w:val="24"/>
          <w:szCs w:val="24"/>
          <w:lang w:bidi="ru-RU"/>
        </w:rPr>
        <w:t>вступили в силу Федеральный закон от 28.12.2025 № 505-ФЗ «О внесении изменений в отдельные законодательные акты Российской Федерации» и Указ Президента Российской Федерации от 31.12.2025 № 1009 «Об изменении и признании утратившими силу некоторых актов Президента Российской Федерации», которыми скорректированы акты, регулирующие порядок представления сведений о доходах, об имуществе и обязательствах имущественного характера, порядок осуществления проверок достоверности и полноты указанных сведений и соблюдения требований к служебному поведению.</w:t>
      </w:r>
    </w:p>
    <w:p w14:paraId="7CFD7710" w14:textId="77777777" w:rsidR="00D11791" w:rsidRPr="008B0810" w:rsidRDefault="00D11791" w:rsidP="00D11791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В связи с указанными изменениями федерального законодательства необходимо отметить следующее.</w:t>
      </w:r>
    </w:p>
    <w:p w14:paraId="22CDA331" w14:textId="77777777" w:rsidR="00D11791" w:rsidRPr="008B0810" w:rsidRDefault="00D11791" w:rsidP="00D11791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Ежегодная подача справки о доходах, расходах, об имуществе и обязательствах имущественного характера (далее - справка о доходах) лицами, для которых такая обязанность установлена, теперь не является безусловной для всех.</w:t>
      </w:r>
    </w:p>
    <w:p w14:paraId="45FA4460" w14:textId="77777777" w:rsidR="00D11791" w:rsidRPr="008B0810" w:rsidRDefault="00D11791" w:rsidP="00D11791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Представить справку о доходах нужно:</w:t>
      </w:r>
    </w:p>
    <w:p w14:paraId="2D1DEBD8" w14:textId="28B81CB6" w:rsidR="00D11791" w:rsidRPr="008B0810" w:rsidRDefault="00D11791" w:rsidP="00D11791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- при поступлении на службу;</w:t>
      </w:r>
    </w:p>
    <w:p w14:paraId="6FED968E" w14:textId="0623DBE9" w:rsidR="00D11791" w:rsidRPr="008B0810" w:rsidRDefault="00D11791" w:rsidP="00D11791">
      <w:pPr>
        <w:pStyle w:val="a7"/>
        <w:ind w:left="0"/>
        <w:jc w:val="both"/>
        <w:rPr>
          <w:rFonts w:ascii="Liberation Serif" w:hAnsi="Liberation Serif"/>
          <w:bCs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 xml:space="preserve">- при переводе служащего на должность, предусмотренной </w:t>
      </w:r>
      <w:r w:rsidR="00F9062D" w:rsidRPr="008B0810">
        <w:rPr>
          <w:rFonts w:ascii="Liberation Serif" w:hAnsi="Liberation Serif"/>
          <w:sz w:val="24"/>
          <w:szCs w:val="24"/>
          <w:u w:val="single"/>
          <w:lang w:bidi="ru-RU"/>
        </w:rPr>
        <w:t>перечнем</w:t>
      </w:r>
      <w:r w:rsidR="00F9062D" w:rsidRPr="008B0810">
        <w:rPr>
          <w:rFonts w:ascii="Liberation Serif" w:hAnsi="Liberation Serif"/>
          <w:sz w:val="24"/>
          <w:szCs w:val="24"/>
          <w:lang w:bidi="ru-RU"/>
        </w:rPr>
        <w:t xml:space="preserve"> должностей </w:t>
      </w:r>
      <w:r w:rsidR="00F9062D" w:rsidRPr="008B0810">
        <w:rPr>
          <w:rFonts w:ascii="Liberation Serif" w:hAnsi="Liberation Serif"/>
          <w:bCs/>
          <w:sz w:val="24"/>
          <w:szCs w:val="24"/>
          <w:lang w:bidi="ru-RU"/>
        </w:rPr>
        <w:t>муниципальной службы, утверждаемых в органах местного самоуправления  Ирбитского муниципального образования, при назначении на которые граждане и при замещении которых муниципальные служащие обязаны предоставлять сведения о своих доходах, об  имуществе и обязательствах имущественного характера, а также  сведения о доходах, об  имуществе и обязательствах имущественного характера своих супруги (супруга) и несовершеннолетних детей</w:t>
      </w:r>
    </w:p>
    <w:p w14:paraId="08B5C4AB" w14:textId="18445D39" w:rsidR="00D11791" w:rsidRPr="008B0810" w:rsidRDefault="00D11791" w:rsidP="00D11791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- при переводе из другого ОМС;</w:t>
      </w:r>
    </w:p>
    <w:p w14:paraId="6D28C61D" w14:textId="11B92096" w:rsidR="00D11791" w:rsidRPr="008B0810" w:rsidRDefault="00D11791" w:rsidP="00D11791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 xml:space="preserve">- обязанными лицами,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- </w:t>
      </w:r>
      <w:r w:rsidRPr="008B0810">
        <w:rPr>
          <w:rFonts w:ascii="Liberation Serif" w:hAnsi="Liberation Serif"/>
          <w:color w:val="EE0000"/>
          <w:sz w:val="24"/>
          <w:szCs w:val="24"/>
          <w:lang w:bidi="ru-RU"/>
        </w:rPr>
        <w:t>не позднее 30 апреля года</w:t>
      </w:r>
      <w:r w:rsidRPr="008B0810">
        <w:rPr>
          <w:rFonts w:ascii="Liberation Serif" w:hAnsi="Liberation Serif"/>
          <w:sz w:val="24"/>
          <w:szCs w:val="24"/>
          <w:lang w:bidi="ru-RU"/>
        </w:rPr>
        <w:t>, следующего за годом, в котором возникли такие основания.</w:t>
      </w:r>
    </w:p>
    <w:p w14:paraId="2287254B" w14:textId="4F049B63" w:rsidR="00D11791" w:rsidRPr="008B0810" w:rsidRDefault="00D11791" w:rsidP="00D11791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Установлен единый срок представления справки о доходах для</w:t>
      </w:r>
      <w:r w:rsidRPr="008B0810">
        <w:rPr>
          <w:rFonts w:ascii="Calibri" w:eastAsia="Calibri" w:hAnsi="Calibri" w:cs="Calibri"/>
          <w:color w:val="000000"/>
          <w:spacing w:val="5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8B0810">
        <w:rPr>
          <w:rFonts w:ascii="Liberation Serif" w:hAnsi="Liberation Serif"/>
          <w:sz w:val="24"/>
          <w:szCs w:val="24"/>
          <w:lang w:bidi="ru-RU"/>
        </w:rPr>
        <w:t xml:space="preserve">всех обязанных лиц, у которых возникли основания для представления сведений о расходах </w:t>
      </w:r>
      <w:proofErr w:type="gramStart"/>
      <w:r w:rsidRPr="008B0810">
        <w:rPr>
          <w:rFonts w:ascii="Liberation Serif" w:hAnsi="Liberation Serif"/>
          <w:sz w:val="24"/>
          <w:szCs w:val="24"/>
          <w:lang w:bidi="ru-RU"/>
        </w:rPr>
        <w:t>- это</w:t>
      </w:r>
      <w:proofErr w:type="gramEnd"/>
      <w:r w:rsidRPr="008B0810">
        <w:rPr>
          <w:rFonts w:ascii="Liberation Serif" w:hAnsi="Liberation Serif"/>
          <w:sz w:val="24"/>
          <w:szCs w:val="24"/>
          <w:lang w:bidi="ru-RU"/>
        </w:rPr>
        <w:t xml:space="preserve"> </w:t>
      </w:r>
      <w:r w:rsidRPr="008B0810">
        <w:rPr>
          <w:rFonts w:ascii="Liberation Serif" w:hAnsi="Liberation Serif"/>
          <w:color w:val="EE0000"/>
          <w:sz w:val="24"/>
          <w:szCs w:val="24"/>
          <w:lang w:bidi="ru-RU"/>
        </w:rPr>
        <w:t>30 апреля года</w:t>
      </w:r>
      <w:r w:rsidRPr="008B0810">
        <w:rPr>
          <w:rFonts w:ascii="Liberation Serif" w:hAnsi="Liberation Serif"/>
          <w:sz w:val="24"/>
          <w:szCs w:val="24"/>
          <w:lang w:bidi="ru-RU"/>
        </w:rPr>
        <w:t>, следующего за годом, в котором возникли такие основания.</w:t>
      </w:r>
    </w:p>
    <w:p w14:paraId="0FD42DCE" w14:textId="587C13DB" w:rsidR="00D11791" w:rsidRPr="008B0810" w:rsidRDefault="00D11791" w:rsidP="00D11791">
      <w:pPr>
        <w:pStyle w:val="a7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b/>
          <w:bCs/>
          <w:sz w:val="24"/>
          <w:szCs w:val="24"/>
          <w:lang w:bidi="ru-RU"/>
        </w:rPr>
      </w:pPr>
      <w:r w:rsidRPr="008B0810">
        <w:rPr>
          <w:rFonts w:ascii="Liberation Serif" w:hAnsi="Liberation Serif"/>
          <w:b/>
          <w:bCs/>
          <w:sz w:val="24"/>
          <w:szCs w:val="24"/>
          <w:lang w:bidi="ru-RU"/>
        </w:rPr>
        <w:t>Основания для подачи сведений о доходах, об имуществе и обязательствах имущественного характера</w:t>
      </w:r>
    </w:p>
    <w:p w14:paraId="43D3B5CD" w14:textId="4EC1B32A" w:rsidR="00D11791" w:rsidRPr="008B0810" w:rsidRDefault="00C62A48" w:rsidP="00D11791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Муниципальный служащий</w:t>
      </w:r>
      <w:r w:rsidR="00D11791" w:rsidRPr="008B0810">
        <w:rPr>
          <w:rFonts w:ascii="Liberation Serif" w:hAnsi="Liberation Serif"/>
          <w:sz w:val="24"/>
          <w:szCs w:val="24"/>
          <w:lang w:bidi="ru-RU"/>
        </w:rPr>
        <w:t xml:space="preserve"> представляет:</w:t>
      </w:r>
    </w:p>
    <w:p w14:paraId="30CD0C8A" w14:textId="04EF4CF5" w:rsidR="00D11791" w:rsidRPr="008B0810" w:rsidRDefault="00D11791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</w:t>
      </w:r>
      <w:r w:rsidR="00C62A48" w:rsidRPr="008B0810">
        <w:rPr>
          <w:rFonts w:ascii="Liberation Serif" w:hAnsi="Liberation Serif"/>
          <w:sz w:val="24"/>
          <w:szCs w:val="24"/>
          <w:lang w:bidi="ru-RU"/>
        </w:rPr>
        <w:t xml:space="preserve"> </w:t>
      </w:r>
    </w:p>
    <w:p w14:paraId="6B6815C3" w14:textId="77777777" w:rsidR="00C62A48" w:rsidRPr="008B0810" w:rsidRDefault="00C62A48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обязательствах имущественного характера по состоянию на конец отчетного периода;</w:t>
      </w:r>
    </w:p>
    <w:p w14:paraId="1317D3FA" w14:textId="77777777" w:rsidR="00C62A48" w:rsidRPr="008B0810" w:rsidRDefault="00C62A48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</w:t>
      </w:r>
      <w:r w:rsidRPr="008B0810">
        <w:rPr>
          <w:rFonts w:ascii="Liberation Serif" w:hAnsi="Liberation Serif"/>
          <w:sz w:val="24"/>
          <w:szCs w:val="24"/>
          <w:lang w:bidi="ru-RU"/>
        </w:rPr>
        <w:lastRenderedPageBreak/>
        <w:t>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142BD44C" w14:textId="1BBA0875" w:rsidR="00C62A48" w:rsidRPr="008B0810" w:rsidRDefault="00C62A48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color w:val="EE0000"/>
          <w:sz w:val="24"/>
          <w:szCs w:val="24"/>
          <w:lang w:bidi="ru-RU"/>
        </w:rPr>
        <w:t xml:space="preserve">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- </w:t>
      </w:r>
      <w:r w:rsidR="007957F4" w:rsidRPr="008B0810">
        <w:rPr>
          <w:rFonts w:ascii="Liberation Serif" w:hAnsi="Liberation Serif"/>
          <w:color w:val="EE0000"/>
          <w:sz w:val="24"/>
          <w:szCs w:val="24"/>
          <w:highlight w:val="yellow"/>
          <w:lang w:bidi="ru-RU"/>
        </w:rPr>
        <w:t>с</w:t>
      </w:r>
      <w:r w:rsidRPr="008B0810">
        <w:rPr>
          <w:rFonts w:ascii="Liberation Serif" w:hAnsi="Liberation Serif"/>
          <w:color w:val="EE0000"/>
          <w:sz w:val="24"/>
          <w:szCs w:val="24"/>
          <w:highlight w:val="yellow"/>
          <w:lang w:bidi="ru-RU"/>
        </w:rPr>
        <w:t>овершение сделки (сделок), общая сумма которой (которых) превышает общий доход муниципального служащего, его супруга (супруги) и несовершеннолетнего ребенка за три года, предшествующих отчетному периоду</w:t>
      </w:r>
      <w:r w:rsidRPr="008B0810">
        <w:rPr>
          <w:rFonts w:ascii="Liberation Serif" w:hAnsi="Liberation Serif"/>
          <w:color w:val="EE0000"/>
          <w:sz w:val="24"/>
          <w:szCs w:val="24"/>
          <w:lang w:bidi="ru-RU"/>
        </w:rPr>
        <w:t>.</w:t>
      </w:r>
    </w:p>
    <w:p w14:paraId="01BCFE22" w14:textId="35AE6D30" w:rsidR="00D11791" w:rsidRPr="008B0810" w:rsidRDefault="00D11791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62A48" w:rsidRPr="008B0810" w14:paraId="525CC721" w14:textId="77777777" w:rsidTr="008B0810">
        <w:trPr>
          <w:trHeight w:val="4360"/>
        </w:trPr>
        <w:tc>
          <w:tcPr>
            <w:tcW w:w="9634" w:type="dxa"/>
          </w:tcPr>
          <w:p w14:paraId="7A7E41D6" w14:textId="7BDB4CB9" w:rsidR="00C62A48" w:rsidRPr="008B0810" w:rsidRDefault="00C62A48" w:rsidP="00C62A48">
            <w:pPr>
              <w:jc w:val="both"/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</w:pP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u w:val="single"/>
                <w:lang w:bidi="ru-RU"/>
              </w:rPr>
              <w:t>ПРИМЕР: Основания для представления сведений о расходах в соответствии</w:t>
            </w: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  <w:t xml:space="preserve"> </w:t>
            </w: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u w:val="single"/>
                <w:lang w:bidi="ru-RU"/>
              </w:rPr>
              <w:t>с Федеральным законом от 3 декабря 2012 г. № 230-ФЗ «О контроле за</w:t>
            </w: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  <w:t xml:space="preserve"> </w:t>
            </w: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u w:val="single"/>
                <w:lang w:bidi="ru-RU"/>
              </w:rPr>
              <w:t>соответствием расходов лиц, замещающих государственные должности,</w:t>
            </w: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  <w:t xml:space="preserve"> </w:t>
            </w: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u w:val="single"/>
                <w:lang w:bidi="ru-RU"/>
              </w:rPr>
              <w:t>и иных лиц их доходам»</w:t>
            </w:r>
          </w:p>
          <w:p w14:paraId="58B0BAB5" w14:textId="77777777" w:rsidR="00C62A48" w:rsidRPr="008B0810" w:rsidRDefault="00C62A48" w:rsidP="00C62A48">
            <w:pPr>
              <w:jc w:val="both"/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</w:pP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  <w:t>В 2025 г. заместитель начальника отдела Иванова АЛ. купила квартиру за 6,0 млн руб. Она в браке с 2019 г. Супруг и несовершеннолетние дети Ивановой АЛ. расходы по сделкам в отчетном периоде не осуществляли. Чтобы определить, есть основания или нет, нужно:</w:t>
            </w:r>
          </w:p>
          <w:p w14:paraId="0EF79749" w14:textId="77777777" w:rsidR="00C62A48" w:rsidRPr="008B0810" w:rsidRDefault="00C62A48" w:rsidP="00C62A48">
            <w:pPr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</w:pP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  <w:t xml:space="preserve"> посчитать общий доход её и супруга за три года до года покупки квартиры.</w:t>
            </w:r>
          </w:p>
          <w:p w14:paraId="2990E62A" w14:textId="3175E395" w:rsidR="00C62A48" w:rsidRPr="008B0810" w:rsidRDefault="00C62A48" w:rsidP="00C62A48">
            <w:pPr>
              <w:jc w:val="both"/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</w:pP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  <w:t>Ее доход за 2022, 2023, 2024 гг. составил 3,0 млн руб., доход супруга -2,0 млн руб. Всего - 5,0 млн руб.;</w:t>
            </w:r>
          </w:p>
          <w:p w14:paraId="3F4BC4FD" w14:textId="77777777" w:rsidR="00C62A48" w:rsidRPr="008B0810" w:rsidRDefault="00C62A48" w:rsidP="00C62A48">
            <w:pPr>
              <w:numPr>
                <w:ilvl w:val="0"/>
                <w:numId w:val="2"/>
              </w:numPr>
              <w:jc w:val="both"/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</w:pP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  <w:t xml:space="preserve"> определить, превышает ли стоимость квартиры их общий доход; </w:t>
            </w:r>
          </w:p>
          <w:p w14:paraId="7A9AAB5A" w14:textId="22AF6F41" w:rsidR="00C62A48" w:rsidRPr="008B0810" w:rsidRDefault="00C62A48" w:rsidP="00C62A48">
            <w:pPr>
              <w:jc w:val="both"/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</w:pP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  <w:t>6,0 млн руб. (стоимость квартиры) - 5,0 млн руб. (общий доход) = 1,0 млн руб. Превышение есть.</w:t>
            </w:r>
          </w:p>
          <w:p w14:paraId="00CCF843" w14:textId="72C306AA" w:rsidR="00C62A48" w:rsidRPr="008B0810" w:rsidRDefault="00C62A48" w:rsidP="00D11791">
            <w:pPr>
              <w:jc w:val="both"/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</w:pP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  <w:t>Следовательно</w:t>
            </w:r>
            <w:r w:rsidRPr="008B0810">
              <w:rPr>
                <w:rFonts w:ascii="Liberation Serif" w:hAnsi="Liberation Serif"/>
                <w:sz w:val="24"/>
                <w:szCs w:val="24"/>
                <w:lang w:bidi="ru-RU"/>
              </w:rPr>
              <w:t xml:space="preserve">, </w:t>
            </w:r>
            <w:r w:rsidRPr="008B0810">
              <w:rPr>
                <w:rFonts w:ascii="Liberation Serif" w:hAnsi="Liberation Serif"/>
                <w:i/>
                <w:iCs/>
                <w:sz w:val="24"/>
                <w:szCs w:val="24"/>
                <w:lang w:bidi="ru-RU"/>
              </w:rPr>
              <w:t>у служащего есть основания для представления сведений о своих доходах, а также о доходах своих супруги (супруга) и несовершеннолетних детей за отчетный 2025 год.</w:t>
            </w:r>
          </w:p>
        </w:tc>
      </w:tr>
    </w:tbl>
    <w:p w14:paraId="3DE30343" w14:textId="77777777" w:rsidR="00C80CF5" w:rsidRPr="008B0810" w:rsidRDefault="00C80CF5" w:rsidP="00D11791">
      <w:pPr>
        <w:jc w:val="both"/>
        <w:rPr>
          <w:rFonts w:ascii="Liberation Serif" w:hAnsi="Liberation Serif"/>
          <w:sz w:val="24"/>
          <w:szCs w:val="24"/>
        </w:rPr>
      </w:pPr>
    </w:p>
    <w:p w14:paraId="2C2F54E7" w14:textId="77777777" w:rsidR="00C62A48" w:rsidRPr="008B0810" w:rsidRDefault="00C62A48" w:rsidP="00C62A48">
      <w:pPr>
        <w:pStyle w:val="a7"/>
        <w:numPr>
          <w:ilvl w:val="0"/>
          <w:numId w:val="1"/>
        </w:numPr>
        <w:ind w:left="0" w:firstLine="567"/>
        <w:jc w:val="both"/>
        <w:rPr>
          <w:rFonts w:ascii="Liberation Serif" w:hAnsi="Liberation Serif"/>
          <w:b/>
          <w:bCs/>
          <w:sz w:val="24"/>
          <w:szCs w:val="24"/>
          <w:lang w:bidi="ru-RU"/>
        </w:rPr>
      </w:pPr>
      <w:bookmarkStart w:id="2" w:name="bookmark3"/>
      <w:r w:rsidRPr="008B0810">
        <w:rPr>
          <w:rFonts w:ascii="Liberation Serif" w:hAnsi="Liberation Serif"/>
          <w:b/>
          <w:bCs/>
          <w:sz w:val="24"/>
          <w:szCs w:val="24"/>
          <w:lang w:bidi="ru-RU"/>
        </w:rPr>
        <w:t>Порядок представления сведений о доходах, об имуществе и обязательствах имущественного характера</w:t>
      </w:r>
      <w:bookmarkEnd w:id="2"/>
    </w:p>
    <w:p w14:paraId="567BD58C" w14:textId="77777777" w:rsidR="00C62A48" w:rsidRPr="008B0810" w:rsidRDefault="00C62A48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Сведения о доходах, об имуществе и обязательствах имущественного характера представляются в виде отдельных справок о доходах на себя, супруга (супругу) и каждого из несовершеннолетних детей.</w:t>
      </w:r>
    </w:p>
    <w:p w14:paraId="67BC38C5" w14:textId="03D62BC0" w:rsidR="00C62A48" w:rsidRPr="008B0810" w:rsidRDefault="00C62A48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Заполнение справки о доходах производится с использованием специализированного программного обеспечения.</w:t>
      </w:r>
    </w:p>
    <w:p w14:paraId="5B88427F" w14:textId="69FD9940" w:rsidR="00C62A48" w:rsidRPr="008B0810" w:rsidRDefault="00C62A48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 xml:space="preserve">Чтобы правильно заполнить справку, понадобятся сведения о наличии счетов и иной информации, полученные в учреждении банка (иной кредитной организации) по форме, установленной Указанием Банка России от 27 мая 2021 г. № 5798-У (далее - Указание №5798-У), справки о доходах, свидетельства о регистрации или договоры о покупке. </w:t>
      </w:r>
    </w:p>
    <w:p w14:paraId="5838EEB5" w14:textId="77777777" w:rsidR="00C62A48" w:rsidRPr="008B0810" w:rsidRDefault="00C62A48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Справку о доходах необходимо заполнять, используя специальное программное обеспечение «Справки БК» по утвержденной форме.</w:t>
      </w:r>
    </w:p>
    <w:p w14:paraId="1B2A760A" w14:textId="4AE32F4B" w:rsidR="00C62A48" w:rsidRPr="008B0810" w:rsidRDefault="00C62A48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 xml:space="preserve">Актуальная версия специального программного обеспечения «Справки БК», размещена на сайте </w:t>
      </w:r>
      <w:r w:rsidRPr="008B0810">
        <w:rPr>
          <w:rFonts w:ascii="Liberation Serif" w:hAnsi="Liberation Serif"/>
          <w:sz w:val="24"/>
          <w:szCs w:val="24"/>
          <w:u w:val="single"/>
          <w:lang w:bidi="ru-RU"/>
        </w:rPr>
        <w:t>Президента Российской Федерации.</w:t>
      </w:r>
    </w:p>
    <w:p w14:paraId="46FF20C5" w14:textId="77777777" w:rsidR="00C62A48" w:rsidRPr="008B0810" w:rsidRDefault="00C62A48" w:rsidP="00C62A48">
      <w:pPr>
        <w:pStyle w:val="a7"/>
        <w:ind w:left="0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СПО «Справки БК» размещено:</w:t>
      </w:r>
    </w:p>
    <w:p w14:paraId="39813461" w14:textId="200DA78B" w:rsidR="00F9062D" w:rsidRPr="008B0810" w:rsidRDefault="00C62A48" w:rsidP="008B0810">
      <w:pPr>
        <w:pStyle w:val="a7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 xml:space="preserve"> на официальном сайте Президента РФ</w:t>
      </w:r>
      <w:r w:rsidR="00F9062D" w:rsidRPr="008B0810">
        <w:rPr>
          <w:rFonts w:ascii="Liberation Serif" w:hAnsi="Liberation Serif"/>
          <w:sz w:val="24"/>
          <w:szCs w:val="24"/>
          <w:lang w:bidi="ru-RU"/>
        </w:rPr>
        <w:t xml:space="preserve"> (http://www.kremlin.ru/structure/additional/12)</w:t>
      </w:r>
    </w:p>
    <w:p w14:paraId="4498F5D1" w14:textId="27FD3FB1" w:rsidR="00C62A48" w:rsidRPr="008B0810" w:rsidRDefault="00C62A48" w:rsidP="00F9062D">
      <w:pPr>
        <w:ind w:left="72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 xml:space="preserve"> (https://gossluzhba.gov.ru/anticorruption/spravki_bk)</w:t>
      </w:r>
    </w:p>
    <w:p w14:paraId="19E7EB87" w14:textId="77777777" w:rsidR="00C62A48" w:rsidRPr="008B0810" w:rsidRDefault="00C62A48" w:rsidP="00F9062D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>Заполненную справку необходимо заверить личной подписью.</w:t>
      </w:r>
    </w:p>
    <w:p w14:paraId="16CA328E" w14:textId="682816E9" w:rsidR="00C62A48" w:rsidRPr="008B0810" w:rsidRDefault="00C62A48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  <w:r w:rsidRPr="008B0810">
        <w:rPr>
          <w:rFonts w:ascii="Liberation Serif" w:hAnsi="Liberation Serif"/>
          <w:sz w:val="24"/>
          <w:szCs w:val="24"/>
          <w:lang w:bidi="ru-RU"/>
        </w:rPr>
        <w:t xml:space="preserve">Заполненную справку в срок до 30 апреля включительно представьте </w:t>
      </w:r>
      <w:r w:rsidR="00F9062D" w:rsidRPr="008B0810">
        <w:rPr>
          <w:rFonts w:ascii="Liberation Serif" w:hAnsi="Liberation Serif"/>
          <w:sz w:val="24"/>
          <w:szCs w:val="24"/>
          <w:lang w:bidi="ru-RU"/>
        </w:rPr>
        <w:t>ведущему специалисту юридического отдела (по кадровой политике и муниципальной службе) Н.Ю. Бузиной</w:t>
      </w:r>
    </w:p>
    <w:p w14:paraId="52FE2DED" w14:textId="77777777" w:rsidR="00F9062D" w:rsidRPr="008B0810" w:rsidRDefault="00F9062D" w:rsidP="00C62A48">
      <w:pPr>
        <w:pStyle w:val="a7"/>
        <w:ind w:left="0"/>
        <w:jc w:val="both"/>
        <w:rPr>
          <w:rFonts w:ascii="Liberation Serif" w:hAnsi="Liberation Serif"/>
          <w:sz w:val="24"/>
          <w:szCs w:val="24"/>
          <w:lang w:bidi="ru-RU"/>
        </w:rPr>
      </w:pPr>
    </w:p>
    <w:p w14:paraId="11519936" w14:textId="07A0E894" w:rsidR="00F9062D" w:rsidRPr="008B0810" w:rsidRDefault="00F9062D" w:rsidP="00F9062D">
      <w:pPr>
        <w:pStyle w:val="a7"/>
        <w:ind w:left="0"/>
        <w:jc w:val="both"/>
        <w:rPr>
          <w:rFonts w:ascii="Liberation Serif" w:hAnsi="Liberation Serif"/>
          <w:sz w:val="24"/>
          <w:szCs w:val="24"/>
        </w:rPr>
      </w:pPr>
      <w:r w:rsidRPr="008B0810">
        <w:rPr>
          <w:rFonts w:ascii="Liberation Serif" w:hAnsi="Liberation Serif"/>
          <w:sz w:val="24"/>
          <w:szCs w:val="24"/>
        </w:rPr>
        <w:t>Муниципальный служащий может представить уточненные сведения в течение одного месяца после окончания срока представления справки о доходах (до 31.05.2026г)</w:t>
      </w:r>
    </w:p>
    <w:sectPr w:rsidR="00F9062D" w:rsidRPr="008B0810" w:rsidSect="008B081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F80"/>
    <w:multiLevelType w:val="multilevel"/>
    <w:tmpl w:val="A992B338"/>
    <w:lvl w:ilvl="0">
      <w:numFmt w:val="decimal"/>
      <w:lvlText w:val="2.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B0B81"/>
    <w:multiLevelType w:val="multilevel"/>
    <w:tmpl w:val="EA4A9608"/>
    <w:lvl w:ilvl="0">
      <w:numFmt w:val="decimal"/>
      <w:lvlText w:val="6.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04209"/>
    <w:multiLevelType w:val="multilevel"/>
    <w:tmpl w:val="3794A4A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D135A5"/>
    <w:multiLevelType w:val="hybridMultilevel"/>
    <w:tmpl w:val="33F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C201E"/>
    <w:multiLevelType w:val="multilevel"/>
    <w:tmpl w:val="1A00AFE8"/>
    <w:lvl w:ilvl="0">
      <w:start w:val="1"/>
      <w:numFmt w:val="decimal"/>
      <w:lvlText w:val="%1)"/>
      <w:lvlJc w:val="left"/>
      <w:rPr>
        <w:rFonts w:ascii="Liberation Serif" w:eastAsia="Calibri" w:hAnsi="Liberation Serif" w:cs="Calibri" w:hint="default"/>
        <w:b w:val="0"/>
        <w:bCs w:val="0"/>
        <w:i/>
        <w:iCs/>
        <w:smallCaps w:val="0"/>
        <w:strike w:val="0"/>
        <w:color w:val="000000"/>
        <w:spacing w:val="5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91"/>
    <w:rsid w:val="001E0D84"/>
    <w:rsid w:val="00657FCD"/>
    <w:rsid w:val="007957F4"/>
    <w:rsid w:val="008B0810"/>
    <w:rsid w:val="00C62A48"/>
    <w:rsid w:val="00C80CF5"/>
    <w:rsid w:val="00D11791"/>
    <w:rsid w:val="00E4723F"/>
    <w:rsid w:val="00F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A958"/>
  <w15:chartTrackingRefBased/>
  <w15:docId w15:val="{3B5CBF00-477F-4276-AE46-A4844C1E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7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7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7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7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7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7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7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7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7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79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6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62A4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62A4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62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Бузина</dc:creator>
  <cp:keywords/>
  <dc:description/>
  <cp:lastModifiedBy>Urist</cp:lastModifiedBy>
  <cp:revision>2</cp:revision>
  <dcterms:created xsi:type="dcterms:W3CDTF">2026-03-16T10:31:00Z</dcterms:created>
  <dcterms:modified xsi:type="dcterms:W3CDTF">2026-03-18T08:39:00Z</dcterms:modified>
</cp:coreProperties>
</file>